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CF" w:rsidRPr="00CA79CF" w:rsidRDefault="00CA79CF" w:rsidP="00CA79C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На  сьогодні  в  ліцеї  працює  34 педагоги, серед яких 33 мають вищу освіту, 1 – середню спеціальну. </w:t>
      </w:r>
    </w:p>
    <w:p w:rsidR="00CA79CF" w:rsidRPr="00CA79CF" w:rsidRDefault="00CA79CF" w:rsidP="00CA79C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За кваліфікаційними категоріями </w:t>
      </w:r>
      <w:r w:rsidRPr="00CA79CF">
        <w:rPr>
          <w:rFonts w:ascii="Times New Roman" w:hAnsi="Times New Roman" w:cs="Times New Roman"/>
          <w:i/>
          <w:sz w:val="28"/>
          <w:szCs w:val="28"/>
          <w:lang w:val="uk-UA"/>
        </w:rPr>
        <w:t>учителі розподілилися таким чином:</w:t>
      </w:r>
    </w:p>
    <w:tbl>
      <w:tblPr>
        <w:tblW w:w="10008" w:type="dxa"/>
        <w:tblLook w:val="01E0"/>
      </w:tblPr>
      <w:tblGrid>
        <w:gridCol w:w="4869"/>
        <w:gridCol w:w="5139"/>
      </w:tblGrid>
      <w:tr w:rsidR="00CA79CF" w:rsidRPr="00CA79CF" w:rsidTr="001D48C5">
        <w:tc>
          <w:tcPr>
            <w:tcW w:w="4869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Мають кваліфікаційні категорії</w:t>
            </w:r>
          </w:p>
        </w:tc>
        <w:tc>
          <w:tcPr>
            <w:tcW w:w="5139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Мають звання</w:t>
            </w:r>
          </w:p>
        </w:tc>
      </w:tr>
      <w:tr w:rsidR="00CA79CF" w:rsidRPr="00CA79CF" w:rsidTr="001D48C5">
        <w:tc>
          <w:tcPr>
            <w:tcW w:w="4869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«спеціаліст вищої категорії» – 11 учителів</w:t>
            </w:r>
          </w:p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«спеціаліст першої категорії» – 7 учителів </w:t>
            </w:r>
          </w:p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«спеціаліст другої категорії» – 6 учителів </w:t>
            </w:r>
          </w:p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 «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спеціаліст» – 10 учителів </w:t>
            </w:r>
          </w:p>
        </w:tc>
        <w:tc>
          <w:tcPr>
            <w:tcW w:w="5139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учитель-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методист» – 5 учителя </w:t>
            </w:r>
          </w:p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«старший учитель» – 2 учителя.</w:t>
            </w:r>
          </w:p>
        </w:tc>
      </w:tr>
    </w:tbl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Кваліфікаційну категорію «спеціаліст» мають 10 учителів, стаж педагогічної діяльності яких складає 1-3 роки. </w:t>
      </w:r>
    </w:p>
    <w:p w:rsidR="00CA79CF" w:rsidRPr="00CA79CF" w:rsidRDefault="00CA79CF" w:rsidP="00CA79C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Один із показників високого рівня професіоналізму – педагогічні звання: «учителів-методистів» – 5, «старших учителів» – 2</w:t>
      </w:r>
    </w:p>
    <w:p w:rsidR="00CA79CF" w:rsidRPr="00CA79CF" w:rsidRDefault="00CA79CF" w:rsidP="00CA7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У динаміці, за 5 років, зростає кількість учителів І та ІІ категорії. </w:t>
      </w:r>
    </w:p>
    <w:p w:rsidR="00CA79CF" w:rsidRPr="00CA79CF" w:rsidRDefault="00CA79CF" w:rsidP="00CA7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Збільшується кількість учителів, які мають другу вищу освіту, таких вчителів вже 4, та один аспірант Харківського національного педагогічного університету ім. Г.С.Сковороди.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За стажем педагогічної діяльності більше 20 років працює 12 педагогів, що складає 35,3 % від загальної кількості вчителів, 10-20 років – 7 учителів (20,6 %), до 3-10 років 8 учителів (23,5 %), до 3 років – 7 учителя (20,6 %)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9CF" w:rsidRPr="00CA79CF" w:rsidRDefault="00CA79CF" w:rsidP="00CA79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У колективі виробляється єдиний педагогічний стиль, рисами якого є опора на особистість учня, визнання його соціальної цінності.</w:t>
      </w:r>
    </w:p>
    <w:p w:rsidR="00CA79CF" w:rsidRPr="00CA79CF" w:rsidRDefault="00CA79CF" w:rsidP="00CA79C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79CF" w:rsidRPr="00CA79CF" w:rsidRDefault="00CA79CF" w:rsidP="00CA79C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A79CF">
        <w:rPr>
          <w:rFonts w:ascii="Times New Roman" w:hAnsi="Times New Roman" w:cs="Times New Roman"/>
          <w:b/>
          <w:i/>
          <w:sz w:val="28"/>
          <w:szCs w:val="28"/>
        </w:rPr>
        <w:t>Медичне</w:t>
      </w:r>
      <w:proofErr w:type="spellEnd"/>
      <w:r w:rsidRPr="00CA79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/>
          <w:i/>
          <w:sz w:val="28"/>
          <w:szCs w:val="28"/>
        </w:rPr>
        <w:t>обслуговування</w:t>
      </w:r>
      <w:proofErr w:type="spellEnd"/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Основна увага колективу навчального закладу завжди сконцентрована на збереженні життя і здоров’я учнів. Проблема здоров'я в аспекті розвитку шкільної освіти є гостро актуальною та пріоритетною. 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Медичне обслуговування здійснюють медпрацівники КЗОЗ «Харківська міська дитяча поліклініка № 23» Дружиніна В.Я., медична сестра Сердюк В.Ю.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Профілактичний медичний огляд учнів проводиться щорічно. У цьому навчальному році у березні медичний огляд пройшли 99,7% учнів (не оглянуто </w:t>
      </w:r>
      <w:proofErr w:type="spellStart"/>
      <w:r w:rsidRPr="00CA79CF">
        <w:rPr>
          <w:rFonts w:ascii="Times New Roman" w:hAnsi="Times New Roman" w:cs="Times New Roman"/>
          <w:sz w:val="28"/>
          <w:szCs w:val="28"/>
          <w:lang w:val="uk-UA"/>
        </w:rPr>
        <w:t>Літуса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 А., учня 8-А класу, який з квітня місяця не відвідує ліцей, на </w:t>
      </w:r>
      <w:proofErr w:type="spellStart"/>
      <w:r w:rsidRPr="00CA79CF">
        <w:rPr>
          <w:rFonts w:ascii="Times New Roman" w:hAnsi="Times New Roman" w:cs="Times New Roman"/>
          <w:sz w:val="28"/>
          <w:szCs w:val="28"/>
          <w:lang w:val="uk-UA"/>
        </w:rPr>
        <w:t>дообстеження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спеціалістів було направлено 101 учень</w:t>
      </w:r>
      <w:r w:rsidRPr="00CA7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(29,6 %). (У 2012/2013 </w:t>
      </w:r>
      <w:proofErr w:type="spellStart"/>
      <w:r w:rsidRPr="00CA79C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>. – 118 учнів (36,5 %)).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За результатами медичних оглядів та аналізу стану здоров’я учнів ліцею встановлено, що різні види захворювань мають 258 учнів (75,9 %). У порівнянні з 2012/2013 навчальним роком цей показник зменшився (260 учнів що становило 80,5 %), що вказує на покращення ситуації.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У 2011/2012 навчальному році практично здорових дітей було 75 учнів (25,25 %), у 2012/2013 навчальному році – 63 учні (22,7 %), цей показник 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lastRenderedPageBreak/>
        <w:t>зменшився, у 2013/2014 навчальному році – 82 учні (24,1 %), показник збільшився.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9CF" w:rsidRPr="00CA79CF" w:rsidRDefault="00CA79CF" w:rsidP="00CA79C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В учнів виявлено різні види хронічних патологій.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"/>
        <w:gridCol w:w="519"/>
        <w:gridCol w:w="615"/>
        <w:gridCol w:w="519"/>
        <w:gridCol w:w="615"/>
        <w:gridCol w:w="519"/>
        <w:gridCol w:w="4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CA79CF" w:rsidRPr="00CA79CF" w:rsidTr="001D48C5">
        <w:trPr>
          <w:trHeight w:val="387"/>
          <w:tblHeader/>
        </w:trPr>
        <w:tc>
          <w:tcPr>
            <w:tcW w:w="9781" w:type="dxa"/>
            <w:gridSpan w:val="18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Виявлена</w:t>
            </w:r>
            <w:proofErr w:type="spell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хронічна</w:t>
            </w:r>
            <w:proofErr w:type="spell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патологія</w:t>
            </w:r>
            <w:proofErr w:type="spellEnd"/>
          </w:p>
        </w:tc>
      </w:tr>
      <w:tr w:rsidR="00CA79CF" w:rsidRPr="00CA79CF" w:rsidTr="001D48C5">
        <w:trPr>
          <w:trHeight w:val="777"/>
          <w:tblHeader/>
        </w:trPr>
        <w:tc>
          <w:tcPr>
            <w:tcW w:w="993" w:type="dxa"/>
            <w:gridSpan w:val="2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Хвороби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органів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дихання</w:t>
            </w:r>
            <w:proofErr w:type="spellEnd"/>
          </w:p>
        </w:tc>
        <w:tc>
          <w:tcPr>
            <w:tcW w:w="1134" w:type="dxa"/>
            <w:gridSpan w:val="2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Хвороби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серця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та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кровообігу</w:t>
            </w:r>
            <w:proofErr w:type="spellEnd"/>
          </w:p>
        </w:tc>
        <w:tc>
          <w:tcPr>
            <w:tcW w:w="1134" w:type="dxa"/>
            <w:gridSpan w:val="2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Хвороби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органів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травлен-ня</w:t>
            </w:r>
            <w:proofErr w:type="spellEnd"/>
          </w:p>
        </w:tc>
        <w:tc>
          <w:tcPr>
            <w:tcW w:w="992" w:type="dxa"/>
            <w:gridSpan w:val="2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Хвороби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зору</w:t>
            </w:r>
            <w:proofErr w:type="spellEnd"/>
          </w:p>
        </w:tc>
        <w:tc>
          <w:tcPr>
            <w:tcW w:w="1134" w:type="dxa"/>
            <w:gridSpan w:val="2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Хвороби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кістково-мязової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системи</w:t>
            </w:r>
            <w:proofErr w:type="spellEnd"/>
          </w:p>
        </w:tc>
        <w:tc>
          <w:tcPr>
            <w:tcW w:w="1134" w:type="dxa"/>
            <w:gridSpan w:val="2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Хвороби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ендокринної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системи</w:t>
            </w:r>
            <w:proofErr w:type="spellEnd"/>
          </w:p>
        </w:tc>
        <w:tc>
          <w:tcPr>
            <w:tcW w:w="1134" w:type="dxa"/>
            <w:gridSpan w:val="2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Хвороби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ЛОР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органі</w:t>
            </w:r>
            <w:proofErr w:type="gram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Хвороби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нервової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системи</w:t>
            </w:r>
            <w:proofErr w:type="spellEnd"/>
          </w:p>
        </w:tc>
        <w:tc>
          <w:tcPr>
            <w:tcW w:w="992" w:type="dxa"/>
            <w:gridSpan w:val="2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Хвороби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сечовивідної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системи</w:t>
            </w:r>
            <w:proofErr w:type="spellEnd"/>
          </w:p>
        </w:tc>
      </w:tr>
      <w:tr w:rsidR="00CA79CF" w:rsidRPr="00CA79CF" w:rsidTr="001D48C5">
        <w:trPr>
          <w:trHeight w:val="419"/>
          <w:tblHeader/>
        </w:trPr>
        <w:tc>
          <w:tcPr>
            <w:tcW w:w="567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26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519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615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519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615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519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73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567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67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567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67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567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67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567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67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567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25" w:type="dxa"/>
            <w:vAlign w:val="center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</w:tr>
      <w:tr w:rsidR="00CA79CF" w:rsidRPr="00CA79CF" w:rsidTr="001D48C5">
        <w:trPr>
          <w:trHeight w:val="499"/>
        </w:trPr>
        <w:tc>
          <w:tcPr>
            <w:tcW w:w="567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519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5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bCs/>
                <w:sz w:val="28"/>
                <w:szCs w:val="28"/>
              </w:rPr>
              <w:t>2,</w:t>
            </w:r>
            <w:r w:rsidRPr="00CA79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98</w:t>
            </w:r>
          </w:p>
        </w:tc>
        <w:tc>
          <w:tcPr>
            <w:tcW w:w="519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15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9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3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15,48</w:t>
            </w:r>
          </w:p>
        </w:tc>
        <w:tc>
          <w:tcPr>
            <w:tcW w:w="567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567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16,67</w:t>
            </w:r>
          </w:p>
        </w:tc>
        <w:tc>
          <w:tcPr>
            <w:tcW w:w="567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567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67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9,22</w:t>
            </w:r>
          </w:p>
        </w:tc>
        <w:tc>
          <w:tcPr>
            <w:tcW w:w="567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7,74</w:t>
            </w:r>
          </w:p>
        </w:tc>
        <w:tc>
          <w:tcPr>
            <w:tcW w:w="567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" w:type="dxa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CA79CF" w:rsidRPr="00CA79CF" w:rsidRDefault="00CA79CF" w:rsidP="00CA79CF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9CF" w:rsidRPr="00CA79CF" w:rsidRDefault="00CA79CF" w:rsidP="00CA79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9CF" w:rsidRPr="00CA79CF" w:rsidRDefault="00CA79CF" w:rsidP="00CA79C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9CF" w:rsidRPr="00CA79CF" w:rsidRDefault="00CA79CF" w:rsidP="00CA79C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Порівняльний аналіз стану здоров’я учнів за період 2008-2014 років, ураховуючи кількісний склад учнів за роками навчання, свідчить про те, що кількість учнів за відповідними групами захворювань (ортопедична патологія, зорова, ЛОР захворювання, хвороби органів травлення, </w:t>
      </w:r>
      <w:proofErr w:type="spellStart"/>
      <w:r w:rsidRPr="00CA79CF">
        <w:rPr>
          <w:rFonts w:ascii="Times New Roman" w:hAnsi="Times New Roman" w:cs="Times New Roman"/>
          <w:sz w:val="28"/>
          <w:szCs w:val="28"/>
          <w:lang w:val="uk-UA"/>
        </w:rPr>
        <w:t>ендокриння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захворювання) різко зросла. </w:t>
      </w:r>
    </w:p>
    <w:p w:rsidR="00CA79CF" w:rsidRPr="00CA79CF" w:rsidRDefault="00CA79CF" w:rsidP="00CA79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79CF" w:rsidRPr="00CA79CF" w:rsidRDefault="00CA79CF" w:rsidP="00CA79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79CF" w:rsidRPr="00CA79CF" w:rsidRDefault="00CA79CF" w:rsidP="00CA79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79CF" w:rsidRPr="00CA79CF" w:rsidRDefault="00CA79CF" w:rsidP="00CA79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A79CF">
        <w:rPr>
          <w:rFonts w:ascii="Times New Roman" w:hAnsi="Times New Roman" w:cs="Times New Roman"/>
          <w:b/>
          <w:sz w:val="28"/>
          <w:szCs w:val="28"/>
        </w:rPr>
        <w:t>Порівняльний</w:t>
      </w:r>
      <w:proofErr w:type="spellEnd"/>
      <w:r w:rsidRPr="00CA79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CA79CF">
        <w:rPr>
          <w:rFonts w:ascii="Times New Roman" w:hAnsi="Times New Roman" w:cs="Times New Roman"/>
          <w:b/>
          <w:sz w:val="28"/>
          <w:szCs w:val="28"/>
        </w:rPr>
        <w:t xml:space="preserve"> стану </w:t>
      </w:r>
      <w:proofErr w:type="spellStart"/>
      <w:r w:rsidRPr="00CA79CF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Pr="00CA79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/>
          <w:sz w:val="28"/>
          <w:szCs w:val="28"/>
        </w:rPr>
        <w:t>учні</w:t>
      </w:r>
      <w:proofErr w:type="gramStart"/>
      <w:r w:rsidRPr="00CA79C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tbl>
      <w:tblPr>
        <w:tblW w:w="101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811"/>
        <w:gridCol w:w="1276"/>
        <w:gridCol w:w="1276"/>
        <w:gridCol w:w="1417"/>
        <w:gridCol w:w="1276"/>
        <w:gridCol w:w="1275"/>
        <w:gridCol w:w="1311"/>
      </w:tblGrid>
      <w:tr w:rsidR="00CA79CF" w:rsidRPr="00CA79CF" w:rsidTr="001D48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захворювань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2008/2009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2009/2010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2010/2011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2011/2012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2012/2013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2013/2014</w:t>
            </w:r>
          </w:p>
        </w:tc>
      </w:tr>
      <w:tr w:rsidR="00CA79CF" w:rsidRPr="00CA79CF" w:rsidTr="001D48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Ортопедична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патологія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24 (9,44 %)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25 (10,5 %)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39 (16,18 %)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87 (28,9 %)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94 (40%)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 (18,8 %)</w:t>
            </w:r>
          </w:p>
        </w:tc>
      </w:tr>
      <w:tr w:rsidR="00CA79CF" w:rsidRPr="00CA79CF" w:rsidTr="001D48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Зорова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патологія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23 (9,05 %)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25 (10,5 %)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47 (19,5 %)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73 (24.3 %)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57 (20,5 %)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 (18,2 %)</w:t>
            </w:r>
          </w:p>
        </w:tc>
      </w:tr>
      <w:tr w:rsidR="00CA79CF" w:rsidRPr="00CA79CF" w:rsidTr="001D48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ЛОР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17 (6,7 %)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14 (5,9 %)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20 (8,3 %)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30 (10 %)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40 14,4(%)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(10,1 %)</w:t>
            </w:r>
          </w:p>
        </w:tc>
      </w:tr>
      <w:tr w:rsidR="00CA79CF" w:rsidRPr="00CA79CF" w:rsidTr="001D48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Неврологічна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патологія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15 (5,9 %)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14 (5,9 %)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20 (8,3 %)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41 (13,6 %)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34 (12,3%)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 (9,5 %)</w:t>
            </w:r>
          </w:p>
        </w:tc>
      </w:tr>
      <w:tr w:rsidR="00CA79CF" w:rsidRPr="00CA79CF" w:rsidTr="001D48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 травлення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9 (3,5 %)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8 (3,38 %)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44 (18,25 %)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21 (7 %)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24 (8,7%)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 (12,4 %)</w:t>
            </w:r>
          </w:p>
        </w:tc>
      </w:tr>
      <w:tr w:rsidR="00CA79CF" w:rsidRPr="00CA79CF" w:rsidTr="001D48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Серцево-судинні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захворювання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 (19,3 %)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48 (20,3 %)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41 (17 %)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84 (28 %)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64 (23,1%)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(18 %)</w:t>
            </w:r>
          </w:p>
        </w:tc>
      </w:tr>
      <w:tr w:rsidR="00CA79CF" w:rsidRPr="00CA79CF" w:rsidTr="001D48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Ендокринні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6 (2,4 %)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5 (2,1 %)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14 (5,8 %)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22 (7,3 %)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15 (5.4%)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(6,8 %)</w:t>
            </w:r>
          </w:p>
        </w:tc>
      </w:tr>
      <w:tr w:rsidR="00CA79CF" w:rsidRPr="00CA79CF" w:rsidTr="001D48C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сечовивідної системи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12 (4,7 %)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12 (5,08 %)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9 (3,7 %)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14 (4,7 %)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9 (3,2%)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(4,2 %)</w:t>
            </w:r>
          </w:p>
        </w:tc>
      </w:tr>
    </w:tbl>
    <w:p w:rsidR="00CA79CF" w:rsidRPr="00CA79CF" w:rsidRDefault="00CA79CF" w:rsidP="00CA79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медичних оглядів учнів розподілено на групи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 для занять на уроках фізичної культури.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1145"/>
        <w:gridCol w:w="1318"/>
        <w:gridCol w:w="1092"/>
        <w:gridCol w:w="1134"/>
        <w:gridCol w:w="1134"/>
        <w:gridCol w:w="1568"/>
        <w:gridCol w:w="983"/>
      </w:tblGrid>
      <w:tr w:rsidR="00CA79CF" w:rsidRPr="00CA79CF" w:rsidTr="001D48C5">
        <w:tc>
          <w:tcPr>
            <w:tcW w:w="6946" w:type="dxa"/>
            <w:gridSpan w:val="6"/>
            <w:shd w:val="clear" w:color="auto" w:fill="auto"/>
          </w:tcPr>
          <w:p w:rsidR="00CA79CF" w:rsidRPr="00CA79CF" w:rsidRDefault="00CA79CF" w:rsidP="00CA79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Розподіл</w:t>
            </w:r>
            <w:proofErr w:type="spell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групах</w:t>
            </w:r>
            <w:proofErr w:type="spell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для занять</w:t>
            </w:r>
            <w:proofErr w:type="gram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фізкультурою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CA79CF" w:rsidRPr="00CA79CF" w:rsidRDefault="00CA79CF" w:rsidP="00CA79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Звільнені</w:t>
            </w:r>
            <w:proofErr w:type="spell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занять </w:t>
            </w: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фізичною</w:t>
            </w:r>
            <w:proofErr w:type="spell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культурою</w:t>
            </w:r>
          </w:p>
        </w:tc>
      </w:tr>
      <w:tr w:rsidR="00CA79CF" w:rsidRPr="00CA79CF" w:rsidTr="001D48C5">
        <w:tc>
          <w:tcPr>
            <w:tcW w:w="2268" w:type="dxa"/>
            <w:gridSpan w:val="2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ідготовча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proofErr w:type="gram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9CF" w:rsidRPr="00CA79CF" w:rsidTr="001D48C5">
        <w:tc>
          <w:tcPr>
            <w:tcW w:w="1123" w:type="dxa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8" w:type="dxa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3" w:type="dxa"/>
            <w:shd w:val="clear" w:color="auto" w:fill="auto"/>
          </w:tcPr>
          <w:p w:rsidR="00CA79CF" w:rsidRPr="00CA79CF" w:rsidRDefault="00CA79CF" w:rsidP="00CA79CF">
            <w:pPr>
              <w:tabs>
                <w:tab w:val="left" w:pos="81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79CF" w:rsidRPr="00CA79CF" w:rsidTr="001D48C5">
        <w:tc>
          <w:tcPr>
            <w:tcW w:w="1123" w:type="dxa"/>
            <w:shd w:val="clear" w:color="auto" w:fill="auto"/>
            <w:vAlign w:val="bottom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40,3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</w:tr>
    </w:tbl>
    <w:p w:rsidR="00CA79CF" w:rsidRPr="00CA79CF" w:rsidRDefault="00CA79CF" w:rsidP="00CA79CF">
      <w:pPr>
        <w:tabs>
          <w:tab w:val="left" w:pos="279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CF">
        <w:rPr>
          <w:rFonts w:ascii="Times New Roman" w:hAnsi="Times New Roman" w:cs="Times New Roman"/>
          <w:sz w:val="28"/>
          <w:szCs w:val="28"/>
        </w:rPr>
        <w:tab/>
      </w:r>
    </w:p>
    <w:p w:rsidR="00CA79CF" w:rsidRPr="00CA79CF" w:rsidRDefault="00CA79CF" w:rsidP="00CA7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У порівнянні з минулим навчальним роком збільшилася кількість учнів, віднесених до основної групи і зменшилась кількість учнів підготовчої групи. Кількість учнів, віднесених до спеціальної медичної групи та звільнених залишилися без змін.</w:t>
      </w:r>
    </w:p>
    <w:p w:rsidR="00CA79CF" w:rsidRPr="00CA79CF" w:rsidRDefault="00CA79CF" w:rsidP="00CA79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79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878"/>
        <w:gridCol w:w="1878"/>
        <w:gridCol w:w="1878"/>
        <w:gridCol w:w="1879"/>
      </w:tblGrid>
      <w:tr w:rsidR="00CA79CF" w:rsidRPr="00CA79CF" w:rsidTr="001D48C5">
        <w:trPr>
          <w:trHeight w:val="5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</w:t>
            </w:r>
            <w:proofErr w:type="spell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ідготовча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proofErr w:type="gramEnd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79CF">
              <w:rPr>
                <w:rFonts w:ascii="Times New Roman" w:hAnsi="Times New Roman" w:cs="Times New Roman"/>
                <w:b/>
                <w:sz w:val="28"/>
                <w:szCs w:val="28"/>
              </w:rPr>
              <w:t>Звільнені</w:t>
            </w:r>
            <w:proofErr w:type="spellEnd"/>
          </w:p>
        </w:tc>
      </w:tr>
      <w:tr w:rsidR="00CA79CF" w:rsidRPr="00CA79CF" w:rsidTr="001D48C5">
        <w:trPr>
          <w:trHeight w:val="5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2008/2009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187 (73,6 %)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27 (10,6 %)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26 (10,2 %)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14 (5,5 %)</w:t>
            </w:r>
          </w:p>
        </w:tc>
      </w:tr>
      <w:tr w:rsidR="00CA79CF" w:rsidRPr="00CA79CF" w:rsidTr="001D48C5">
        <w:trPr>
          <w:trHeight w:val="5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2009/2010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158 (66,9 %)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47 (20 %)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26 (11 %)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11 (4,6 %)</w:t>
            </w:r>
          </w:p>
        </w:tc>
      </w:tr>
      <w:tr w:rsidR="00CA79CF" w:rsidRPr="00CA79CF" w:rsidTr="001D48C5">
        <w:trPr>
          <w:trHeight w:val="5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2010/2011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107 (44,3 %)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91 (37,7 %)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10 (4,1 %)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15 (6,2 %)</w:t>
            </w:r>
          </w:p>
        </w:tc>
      </w:tr>
      <w:tr w:rsidR="00CA79CF" w:rsidRPr="00CA79CF" w:rsidTr="001D48C5">
        <w:trPr>
          <w:trHeight w:val="5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99 (33 %)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171 (56,8 %)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9 (3 %)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18 (6 %)</w:t>
            </w:r>
          </w:p>
        </w:tc>
      </w:tr>
      <w:tr w:rsidR="00CA79CF" w:rsidRPr="00CA79CF" w:rsidTr="001D48C5">
        <w:trPr>
          <w:trHeight w:val="5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103 (37,1 %)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162 (58,4 %)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5 (1,8 %)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>7 (2,5 %)</w:t>
            </w:r>
          </w:p>
        </w:tc>
      </w:tr>
      <w:tr w:rsidR="00CA79CF" w:rsidRPr="00CA79CF" w:rsidTr="001D48C5">
        <w:trPr>
          <w:trHeight w:val="5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2-13/2014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 (40,3 %)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 (55,6 %)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 (1,8 %)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9CF" w:rsidRPr="00CA79CF" w:rsidRDefault="00CA79CF" w:rsidP="00CA79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 (2,</w:t>
            </w:r>
            <w:r w:rsidRPr="00CA7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A79CF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CA79CF" w:rsidRPr="00CA79CF" w:rsidRDefault="00CA79CF" w:rsidP="00CA79C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9CF" w:rsidRPr="00CA79CF" w:rsidRDefault="00CA79CF" w:rsidP="00CA79C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Порівняння за кілька років вказує на різке зменшення учнів, які віднесені до основної групи, збільшення учнів підготовчої групи.</w:t>
      </w:r>
    </w:p>
    <w:p w:rsidR="00CA79CF" w:rsidRPr="00CA79CF" w:rsidRDefault="00CA79CF" w:rsidP="00CA79C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досліджень виявлені найбільш важливі фактори, що впливають на здоров'я учнів, розроблені індивідуальні рекомендації стосовно корекції особистісних якостей. </w:t>
      </w:r>
      <w:r w:rsidRPr="00CA79CF">
        <w:rPr>
          <w:rFonts w:ascii="Times New Roman" w:hAnsi="Times New Roman" w:cs="Times New Roman"/>
          <w:sz w:val="28"/>
          <w:szCs w:val="28"/>
        </w:rPr>
        <w:t xml:space="preserve">У кожному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учителі-предметники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lastRenderedPageBreak/>
        <w:t>мають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дозувати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9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9CF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A79C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A79C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засад здорового способу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створена система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CA79CF">
        <w:rPr>
          <w:rFonts w:ascii="Times New Roman" w:hAnsi="Times New Roman" w:cs="Times New Roman"/>
          <w:sz w:val="28"/>
          <w:szCs w:val="28"/>
        </w:rPr>
        <w:sym w:font="Symbol" w:char="F0A2"/>
      </w:r>
      <w:r w:rsidRPr="00CA79C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корекційно-оздоровчих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процедур в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Ліцей уже другий рік працює в районній мережі Шкіл сприяння </w:t>
      </w:r>
      <w:proofErr w:type="spellStart"/>
      <w:r w:rsidRPr="00CA79CF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r w:rsidRPr="00CA79C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>.</w:t>
      </w:r>
    </w:p>
    <w:p w:rsidR="00CA79CF" w:rsidRPr="00CA79CF" w:rsidRDefault="00CA79CF" w:rsidP="00CA79C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Щоденна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>:</w:t>
      </w:r>
    </w:p>
    <w:p w:rsidR="00CA79CF" w:rsidRPr="00CA79CF" w:rsidRDefault="00CA79CF" w:rsidP="00CA79C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CF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своєчасні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огляди та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>;</w:t>
      </w:r>
    </w:p>
    <w:p w:rsidR="00CA79CF" w:rsidRPr="00CA79CF" w:rsidRDefault="00CA79CF" w:rsidP="00CA79C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</w:rPr>
        <w:t xml:space="preserve">- 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CA79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>умов, що відповідають нормам функціонування загальноосвітніх навчальних закладі</w:t>
      </w:r>
      <w:proofErr w:type="gramStart"/>
      <w:r w:rsidRPr="00CA79C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CA79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9CF" w:rsidRPr="00CA79CF" w:rsidRDefault="00CA79CF" w:rsidP="00CA79C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CA79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79CF">
        <w:rPr>
          <w:rFonts w:ascii="Times New Roman" w:hAnsi="Times New Roman" w:cs="Times New Roman"/>
          <w:sz w:val="28"/>
          <w:szCs w:val="28"/>
        </w:rPr>
        <w:t>;</w:t>
      </w:r>
    </w:p>
    <w:p w:rsidR="00CA79CF" w:rsidRPr="00CA79CF" w:rsidRDefault="00CA79CF" w:rsidP="00CA79C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9C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A79CF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>.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забезпечення учнів гарячим харчуванням учнів;</w:t>
      </w:r>
    </w:p>
    <w:p w:rsidR="00CA79CF" w:rsidRPr="00CA79CF" w:rsidRDefault="00CA79CF" w:rsidP="00CA79CF">
      <w:pPr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дня для учнів ліцею проводяться:</w:t>
      </w:r>
    </w:p>
    <w:p w:rsidR="00CA79CF" w:rsidRPr="00CA79CF" w:rsidRDefault="00CA79CF" w:rsidP="00CA79CF">
      <w:pPr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>ранкова гімнастика до початку навчальних занять;</w:t>
      </w:r>
    </w:p>
    <w:p w:rsidR="00CA79CF" w:rsidRPr="00CA79CF" w:rsidRDefault="00CA79CF" w:rsidP="00CA79CF">
      <w:pPr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A79CF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 на уроках;</w:t>
      </w:r>
    </w:p>
    <w:p w:rsidR="00CA79CF" w:rsidRPr="00CA79CF" w:rsidRDefault="00CA79CF" w:rsidP="00CA79CF">
      <w:pPr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«Перерви здоров’я» (фізичні вправи та рухливі ігри на подовжених перервах);</w:t>
      </w:r>
    </w:p>
    <w:p w:rsidR="00CA79CF" w:rsidRPr="00CA79CF" w:rsidRDefault="00CA79CF" w:rsidP="00CA79CF">
      <w:pPr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«Години фізкультури» з учнями ГПД;</w:t>
      </w:r>
    </w:p>
    <w:p w:rsidR="00CA79CF" w:rsidRPr="00CA79CF" w:rsidRDefault="00CA79CF" w:rsidP="00CA79CF">
      <w:pPr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прогулянки на свіжому повітрі з учнями ГПД.</w:t>
      </w:r>
    </w:p>
    <w:p w:rsidR="00CA79CF" w:rsidRPr="00CA79CF" w:rsidRDefault="00CA79CF" w:rsidP="00CA79CF">
      <w:pPr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У 2013/2014 навчальному році у ліцеї навчальним планом передбачено заняття на уроках фізичної культури, 2-3 години на тиждень, залежно від класу.</w:t>
      </w:r>
    </w:p>
    <w:p w:rsidR="00CA79CF" w:rsidRPr="00CA79CF" w:rsidRDefault="00CA79CF" w:rsidP="00CA79C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CF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>. Так у 201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A79CF">
        <w:rPr>
          <w:rFonts w:ascii="Times New Roman" w:hAnsi="Times New Roman" w:cs="Times New Roman"/>
          <w:sz w:val="28"/>
          <w:szCs w:val="28"/>
        </w:rPr>
        <w:t>/201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прове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>дено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9C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A79CF">
        <w:rPr>
          <w:rFonts w:ascii="Times New Roman" w:hAnsi="Times New Roman" w:cs="Times New Roman"/>
          <w:sz w:val="28"/>
          <w:szCs w:val="28"/>
        </w:rPr>
        <w:t>ілактичн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79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пров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>одяться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роз’яснювальн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A79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просвітницьк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9C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A79CF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щеплень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9CF" w:rsidRPr="00CA79CF" w:rsidRDefault="00CA79CF" w:rsidP="00CA79C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за основу те,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A79C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A79CF">
        <w:rPr>
          <w:rFonts w:ascii="Times New Roman" w:hAnsi="Times New Roman" w:cs="Times New Roman"/>
          <w:sz w:val="28"/>
          <w:szCs w:val="28"/>
        </w:rPr>
        <w:t>іоритетний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надавала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9CF"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розглядалися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2-го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9CF" w:rsidRPr="00CA79CF" w:rsidRDefault="00CA79CF" w:rsidP="00CA79C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І надалі</w:t>
      </w:r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A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sz w:val="28"/>
          <w:szCs w:val="28"/>
        </w:rPr>
        <w:t>т</w:t>
      </w:r>
      <w:r w:rsidRPr="00CA79CF">
        <w:rPr>
          <w:rFonts w:ascii="Times New Roman" w:hAnsi="Times New Roman" w:cs="Times New Roman"/>
          <w:bCs/>
          <w:sz w:val="28"/>
          <w:szCs w:val="28"/>
        </w:rPr>
        <w:t>римати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під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контролем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проходження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учнями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поглиблених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медичних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оглядів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профілактичних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спрямованих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збереження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зміцнення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9CF">
        <w:rPr>
          <w:rFonts w:ascii="Times New Roman" w:hAnsi="Times New Roman" w:cs="Times New Roman"/>
          <w:bCs/>
          <w:sz w:val="28"/>
          <w:szCs w:val="28"/>
        </w:rPr>
        <w:t>здоров’я</w:t>
      </w:r>
      <w:proofErr w:type="spellEnd"/>
      <w:r w:rsidRPr="00CA79CF">
        <w:rPr>
          <w:rFonts w:ascii="Times New Roman" w:hAnsi="Times New Roman" w:cs="Times New Roman"/>
          <w:bCs/>
          <w:sz w:val="28"/>
          <w:szCs w:val="28"/>
        </w:rPr>
        <w:t>.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У ліцеї працює практичний психолог – </w:t>
      </w:r>
      <w:proofErr w:type="spellStart"/>
      <w:r w:rsidRPr="00CA79CF">
        <w:rPr>
          <w:rFonts w:ascii="Times New Roman" w:hAnsi="Times New Roman" w:cs="Times New Roman"/>
          <w:sz w:val="28"/>
          <w:szCs w:val="28"/>
          <w:lang w:val="uk-UA"/>
        </w:rPr>
        <w:t>Скворчевська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 О.В. Основною метою психологічної служби в ліцеї є: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психопрофілактика;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організація психолого-педагогічного процесу;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сприяння психічному, особистому та індивідуальному розвиткові· учнів;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вивчення особистих характеристик учнів;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проведення просвітницької роботи серед педагогічного колективу ліцею та батьківської громадськості·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профілактики девіантної поведінки дітей;</w:t>
      </w:r>
    </w:p>
    <w:p w:rsidR="00CA79CF" w:rsidRPr="00CA79CF" w:rsidRDefault="00CA79CF" w:rsidP="00CA79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розвиток творчого потенціалу та пізнавальних здібностей учнів.</w:t>
      </w:r>
    </w:p>
    <w:p w:rsidR="00CA79CF" w:rsidRPr="00CA79CF" w:rsidRDefault="00CA79CF" w:rsidP="00CA79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харчування учнів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 у ліцеї здійснюється на підставі </w:t>
      </w:r>
      <w:bookmarkStart w:id="0" w:name="OLE_LINK2"/>
      <w:bookmarkStart w:id="1" w:name="OLE_LINK1"/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нормативних документів:Законів України «Про освіту», «Про загальну середню освіту»,  «Про охорону дитинства», «Про молоко та молочні продукти», згідно з постановою Кабінету Міністрів України від 22.11.2004 № 1591 «Про затвердження норм харчування у навчальних та оздоровчих закладах», рішень  11 сесії Харківської міської ради 6 скликання від 16.11.2011 № 495/11 «Про затвердження міської Програми «Дитяче харчування» на 2012-2015 роки» та 29 сесії Харківської міської ради 6 скликання від 22.01.2014 № 1419/14 «Про бюджет міста Харкова на 2014 рік», 30 сесії Харківської міської ради 6 скликання від 22.01.2014 № 1428/14 «Про затвердження кошторису видатків на виконання міських освітніх програм за рахунок коштів міського бюджету м. Харкова на 2014 рік», рішення виконавчого комітету Харківської міської ради від 22.01.2014 № 9 «Про організацію харчування учнів та вихованців навчальних закладів міста у 2014 році», наказу Департаменту освіти Харківської міської ради від 31.01.2014 № 15 «Про організацію харчування учнів та вихованців навчальних закладів міста у 2014 році», наказу управління освіти адміністрації Київського району від 31.01.2014 № 48 «Про організацію харчування учнів та вихованців навчальних закладів міста у 2014 році», на виконання </w:t>
      </w:r>
      <w:r w:rsidRPr="00CA79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Програми «Дитяче харчування» на 2012-2015 роки» у ліцеї розроблені відповідні заходи. </w:t>
      </w:r>
    </w:p>
    <w:p w:rsidR="00CA79CF" w:rsidRPr="00CA79CF" w:rsidRDefault="00CA79CF" w:rsidP="00CA79CF">
      <w:pPr>
        <w:pStyle w:val="msonormalcxspmiddle"/>
        <w:tabs>
          <w:tab w:val="left" w:pos="3528"/>
        </w:tabs>
        <w:spacing w:before="0" w:beforeAutospacing="0" w:after="0" w:afterAutospacing="0"/>
        <w:ind w:firstLine="601"/>
        <w:contextualSpacing/>
        <w:jc w:val="both"/>
        <w:rPr>
          <w:bCs/>
          <w:sz w:val="28"/>
          <w:szCs w:val="28"/>
          <w:lang w:val="uk-UA"/>
        </w:rPr>
      </w:pPr>
      <w:r w:rsidRPr="00CA79CF">
        <w:rPr>
          <w:sz w:val="28"/>
          <w:szCs w:val="28"/>
          <w:lang w:val="uk-UA"/>
        </w:rPr>
        <w:t xml:space="preserve">Організацію харчування у ліцеї забезпечує </w:t>
      </w:r>
      <w:r w:rsidRPr="00CA79CF">
        <w:rPr>
          <w:bCs/>
          <w:sz w:val="28"/>
          <w:szCs w:val="28"/>
          <w:lang w:val="uk-UA"/>
        </w:rPr>
        <w:t>комунальне підприємство «Комбінат дитячого харчування».</w:t>
      </w:r>
    </w:p>
    <w:p w:rsidR="00CA79CF" w:rsidRPr="00CA79CF" w:rsidRDefault="00CA79CF" w:rsidP="00CA79CF">
      <w:pPr>
        <w:pStyle w:val="msonormalcxspmiddle"/>
        <w:tabs>
          <w:tab w:val="left" w:pos="3528"/>
        </w:tabs>
        <w:spacing w:before="0" w:beforeAutospacing="0" w:after="0" w:afterAutospacing="0"/>
        <w:ind w:firstLine="601"/>
        <w:contextualSpacing/>
        <w:jc w:val="both"/>
        <w:rPr>
          <w:sz w:val="28"/>
          <w:szCs w:val="28"/>
          <w:lang w:val="uk-UA"/>
        </w:rPr>
      </w:pPr>
      <w:r w:rsidRPr="00CA79CF">
        <w:rPr>
          <w:sz w:val="28"/>
          <w:szCs w:val="28"/>
          <w:lang w:val="uk-UA"/>
        </w:rPr>
        <w:t>За кошти міського бюджету учні 1-4-х класів міста забезпечувалися безоплатним гарячим харчуванням:</w:t>
      </w:r>
    </w:p>
    <w:p w:rsidR="00CA79CF" w:rsidRPr="00CA79CF" w:rsidRDefault="00CA79CF" w:rsidP="00CA79CF">
      <w:pPr>
        <w:pStyle w:val="a3"/>
        <w:numPr>
          <w:ilvl w:val="0"/>
          <w:numId w:val="2"/>
        </w:numPr>
        <w:tabs>
          <w:tab w:val="left" w:pos="-3969"/>
          <w:tab w:val="left" w:pos="426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CA79CF">
        <w:rPr>
          <w:sz w:val="28"/>
          <w:szCs w:val="28"/>
        </w:rPr>
        <w:t xml:space="preserve">для </w:t>
      </w:r>
      <w:proofErr w:type="spellStart"/>
      <w:r w:rsidRPr="00CA79CF">
        <w:rPr>
          <w:sz w:val="28"/>
          <w:szCs w:val="28"/>
        </w:rPr>
        <w:t>учнів</w:t>
      </w:r>
      <w:proofErr w:type="spellEnd"/>
      <w:r w:rsidRPr="00CA79CF">
        <w:rPr>
          <w:sz w:val="28"/>
          <w:szCs w:val="28"/>
        </w:rPr>
        <w:t xml:space="preserve"> 1-4-х </w:t>
      </w:r>
      <w:proofErr w:type="spellStart"/>
      <w:r w:rsidRPr="00CA79CF">
        <w:rPr>
          <w:sz w:val="28"/>
          <w:szCs w:val="28"/>
        </w:rPr>
        <w:t>класів</w:t>
      </w:r>
      <w:proofErr w:type="spellEnd"/>
      <w:r w:rsidRPr="00CA79CF">
        <w:rPr>
          <w:sz w:val="28"/>
          <w:szCs w:val="28"/>
        </w:rPr>
        <w:t xml:space="preserve"> – </w:t>
      </w:r>
      <w:r w:rsidRPr="00CA79CF">
        <w:rPr>
          <w:sz w:val="28"/>
          <w:szCs w:val="28"/>
          <w:lang w:val="uk-UA"/>
        </w:rPr>
        <w:t>5</w:t>
      </w:r>
      <w:r w:rsidRPr="00CA79CF">
        <w:rPr>
          <w:sz w:val="28"/>
          <w:szCs w:val="28"/>
        </w:rPr>
        <w:t>,</w:t>
      </w:r>
      <w:r w:rsidRPr="00CA79CF">
        <w:rPr>
          <w:sz w:val="28"/>
          <w:szCs w:val="28"/>
          <w:lang w:val="uk-UA"/>
        </w:rPr>
        <w:t>0</w:t>
      </w:r>
      <w:proofErr w:type="spellStart"/>
      <w:r w:rsidRPr="00CA79CF">
        <w:rPr>
          <w:sz w:val="28"/>
          <w:szCs w:val="28"/>
        </w:rPr>
        <w:t>0</w:t>
      </w:r>
      <w:proofErr w:type="spellEnd"/>
      <w:r w:rsidRPr="00CA79CF">
        <w:rPr>
          <w:sz w:val="28"/>
          <w:szCs w:val="28"/>
        </w:rPr>
        <w:t xml:space="preserve"> </w:t>
      </w:r>
      <w:proofErr w:type="spellStart"/>
      <w:r w:rsidRPr="00CA79CF">
        <w:rPr>
          <w:sz w:val="28"/>
          <w:szCs w:val="28"/>
        </w:rPr>
        <w:t>грн</w:t>
      </w:r>
      <w:proofErr w:type="spellEnd"/>
      <w:r w:rsidRPr="00CA79CF">
        <w:rPr>
          <w:sz w:val="28"/>
          <w:szCs w:val="28"/>
        </w:rPr>
        <w:t>.</w:t>
      </w:r>
      <w:r w:rsidRPr="00CA79CF">
        <w:rPr>
          <w:sz w:val="28"/>
          <w:szCs w:val="28"/>
          <w:lang w:val="uk-UA"/>
        </w:rPr>
        <w:t xml:space="preserve"> (4,50 з 01.09.2013)</w:t>
      </w:r>
      <w:r w:rsidRPr="00CA79CF">
        <w:rPr>
          <w:sz w:val="28"/>
          <w:szCs w:val="28"/>
        </w:rPr>
        <w:t>;</w:t>
      </w:r>
    </w:p>
    <w:p w:rsidR="00CA79CF" w:rsidRPr="00CA79CF" w:rsidRDefault="00CA79CF" w:rsidP="00CA79CF">
      <w:pPr>
        <w:pStyle w:val="a3"/>
        <w:numPr>
          <w:ilvl w:val="0"/>
          <w:numId w:val="2"/>
        </w:numPr>
        <w:tabs>
          <w:tab w:val="left" w:pos="-3969"/>
          <w:tab w:val="left" w:pos="426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CA79CF">
        <w:rPr>
          <w:sz w:val="28"/>
          <w:szCs w:val="28"/>
        </w:rPr>
        <w:t xml:space="preserve">для </w:t>
      </w:r>
      <w:proofErr w:type="spellStart"/>
      <w:r w:rsidRPr="00CA79CF">
        <w:rPr>
          <w:sz w:val="28"/>
          <w:szCs w:val="28"/>
        </w:rPr>
        <w:t>учнів</w:t>
      </w:r>
      <w:proofErr w:type="spellEnd"/>
      <w:r w:rsidRPr="00CA79CF">
        <w:rPr>
          <w:sz w:val="28"/>
          <w:szCs w:val="28"/>
        </w:rPr>
        <w:t xml:space="preserve"> 1-х </w:t>
      </w:r>
      <w:proofErr w:type="spellStart"/>
      <w:r w:rsidRPr="00CA79CF">
        <w:rPr>
          <w:sz w:val="28"/>
          <w:szCs w:val="28"/>
        </w:rPr>
        <w:t>класів</w:t>
      </w:r>
      <w:proofErr w:type="spellEnd"/>
      <w:r w:rsidRPr="00CA79CF">
        <w:rPr>
          <w:sz w:val="28"/>
          <w:szCs w:val="28"/>
        </w:rPr>
        <w:t xml:space="preserve"> без</w:t>
      </w:r>
      <w:r w:rsidRPr="00CA79CF">
        <w:rPr>
          <w:sz w:val="28"/>
          <w:szCs w:val="28"/>
          <w:lang w:val="uk-UA"/>
        </w:rPr>
        <w:t>оплатне</w:t>
      </w:r>
      <w:r w:rsidRPr="00CA79CF">
        <w:rPr>
          <w:sz w:val="28"/>
          <w:szCs w:val="28"/>
        </w:rPr>
        <w:t xml:space="preserve"> </w:t>
      </w:r>
      <w:proofErr w:type="spellStart"/>
      <w:r w:rsidRPr="00CA79CF">
        <w:rPr>
          <w:sz w:val="28"/>
          <w:szCs w:val="28"/>
        </w:rPr>
        <w:t>харчування</w:t>
      </w:r>
      <w:proofErr w:type="spellEnd"/>
      <w:r w:rsidRPr="00CA79CF">
        <w:rPr>
          <w:sz w:val="28"/>
          <w:szCs w:val="28"/>
        </w:rPr>
        <w:t xml:space="preserve"> молоком – 2,</w:t>
      </w:r>
      <w:r w:rsidRPr="00CA79CF">
        <w:rPr>
          <w:sz w:val="28"/>
          <w:szCs w:val="28"/>
          <w:lang w:val="uk-UA"/>
        </w:rPr>
        <w:t>8</w:t>
      </w:r>
      <w:r w:rsidRPr="00CA79CF">
        <w:rPr>
          <w:sz w:val="28"/>
          <w:szCs w:val="28"/>
        </w:rPr>
        <w:t xml:space="preserve">0 </w:t>
      </w:r>
      <w:proofErr w:type="spellStart"/>
      <w:r w:rsidRPr="00CA79CF">
        <w:rPr>
          <w:sz w:val="28"/>
          <w:szCs w:val="28"/>
        </w:rPr>
        <w:t>грн</w:t>
      </w:r>
      <w:proofErr w:type="spellEnd"/>
      <w:r w:rsidRPr="00CA79CF">
        <w:rPr>
          <w:sz w:val="28"/>
          <w:szCs w:val="28"/>
        </w:rPr>
        <w:t>. (2,</w:t>
      </w:r>
      <w:r w:rsidRPr="00CA79CF">
        <w:rPr>
          <w:sz w:val="28"/>
          <w:szCs w:val="28"/>
          <w:lang w:val="uk-UA"/>
        </w:rPr>
        <w:t>3</w:t>
      </w:r>
      <w:r w:rsidRPr="00CA79CF">
        <w:rPr>
          <w:sz w:val="28"/>
          <w:szCs w:val="28"/>
        </w:rPr>
        <w:t xml:space="preserve">0 </w:t>
      </w:r>
      <w:proofErr w:type="spellStart"/>
      <w:r w:rsidRPr="00CA79CF">
        <w:rPr>
          <w:sz w:val="28"/>
          <w:szCs w:val="28"/>
        </w:rPr>
        <w:t>з</w:t>
      </w:r>
      <w:proofErr w:type="spellEnd"/>
      <w:r w:rsidRPr="00CA79CF">
        <w:rPr>
          <w:sz w:val="28"/>
          <w:szCs w:val="28"/>
        </w:rPr>
        <w:t xml:space="preserve"> 01.09.201</w:t>
      </w:r>
      <w:r w:rsidRPr="00CA79CF">
        <w:rPr>
          <w:sz w:val="28"/>
          <w:szCs w:val="28"/>
          <w:lang w:val="uk-UA"/>
        </w:rPr>
        <w:t>3</w:t>
      </w:r>
      <w:r w:rsidRPr="00CA79CF">
        <w:rPr>
          <w:sz w:val="28"/>
          <w:szCs w:val="28"/>
        </w:rPr>
        <w:t xml:space="preserve">); </w:t>
      </w:r>
    </w:p>
    <w:p w:rsidR="00CA79CF" w:rsidRPr="00CA79CF" w:rsidRDefault="00CA79CF" w:rsidP="00CA79CF">
      <w:pPr>
        <w:pStyle w:val="a3"/>
        <w:numPr>
          <w:ilvl w:val="0"/>
          <w:numId w:val="2"/>
        </w:numPr>
        <w:tabs>
          <w:tab w:val="left" w:pos="-3969"/>
          <w:tab w:val="left" w:pos="426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CA79CF">
        <w:rPr>
          <w:sz w:val="28"/>
          <w:szCs w:val="28"/>
        </w:rPr>
        <w:t xml:space="preserve">для </w:t>
      </w:r>
      <w:proofErr w:type="spellStart"/>
      <w:r w:rsidRPr="00CA79CF">
        <w:rPr>
          <w:sz w:val="28"/>
          <w:szCs w:val="28"/>
        </w:rPr>
        <w:t>учнів</w:t>
      </w:r>
      <w:proofErr w:type="spellEnd"/>
      <w:r w:rsidRPr="00CA79CF">
        <w:rPr>
          <w:sz w:val="28"/>
          <w:szCs w:val="28"/>
        </w:rPr>
        <w:t xml:space="preserve"> </w:t>
      </w:r>
      <w:proofErr w:type="spellStart"/>
      <w:proofErr w:type="gramStart"/>
      <w:r w:rsidRPr="00CA79CF">
        <w:rPr>
          <w:sz w:val="28"/>
          <w:szCs w:val="28"/>
        </w:rPr>
        <w:t>п</w:t>
      </w:r>
      <w:proofErr w:type="gramEnd"/>
      <w:r w:rsidRPr="00CA79CF">
        <w:rPr>
          <w:sz w:val="28"/>
          <w:szCs w:val="28"/>
        </w:rPr>
        <w:t>ільгового</w:t>
      </w:r>
      <w:proofErr w:type="spellEnd"/>
      <w:r w:rsidRPr="00CA79CF">
        <w:rPr>
          <w:sz w:val="28"/>
          <w:szCs w:val="28"/>
        </w:rPr>
        <w:t xml:space="preserve"> контингенту:</w:t>
      </w:r>
    </w:p>
    <w:p w:rsidR="00CA79CF" w:rsidRPr="00CA79CF" w:rsidRDefault="00CA79CF" w:rsidP="00CA79CF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360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CA79CF">
        <w:rPr>
          <w:sz w:val="28"/>
          <w:szCs w:val="28"/>
        </w:rPr>
        <w:t xml:space="preserve">у 1-4-х </w:t>
      </w:r>
      <w:proofErr w:type="spellStart"/>
      <w:r w:rsidRPr="00CA79CF">
        <w:rPr>
          <w:sz w:val="28"/>
          <w:szCs w:val="28"/>
        </w:rPr>
        <w:t>класах</w:t>
      </w:r>
      <w:proofErr w:type="spellEnd"/>
      <w:r w:rsidRPr="00CA79CF">
        <w:rPr>
          <w:sz w:val="28"/>
          <w:szCs w:val="28"/>
        </w:rPr>
        <w:t xml:space="preserve">, </w:t>
      </w:r>
      <w:proofErr w:type="spellStart"/>
      <w:r w:rsidRPr="00CA79CF">
        <w:rPr>
          <w:sz w:val="28"/>
          <w:szCs w:val="28"/>
        </w:rPr>
        <w:t>які</w:t>
      </w:r>
      <w:proofErr w:type="spellEnd"/>
      <w:r w:rsidRPr="00CA79CF">
        <w:rPr>
          <w:sz w:val="28"/>
          <w:szCs w:val="28"/>
        </w:rPr>
        <w:t xml:space="preserve"> </w:t>
      </w:r>
      <w:proofErr w:type="spellStart"/>
      <w:r w:rsidRPr="00CA79CF">
        <w:rPr>
          <w:sz w:val="28"/>
          <w:szCs w:val="28"/>
        </w:rPr>
        <w:t>відвідують</w:t>
      </w:r>
      <w:proofErr w:type="spellEnd"/>
      <w:r w:rsidRPr="00CA79CF">
        <w:rPr>
          <w:sz w:val="28"/>
          <w:szCs w:val="28"/>
        </w:rPr>
        <w:t xml:space="preserve"> </w:t>
      </w:r>
      <w:proofErr w:type="spellStart"/>
      <w:r w:rsidRPr="00CA79CF">
        <w:rPr>
          <w:sz w:val="28"/>
          <w:szCs w:val="28"/>
        </w:rPr>
        <w:t>групи</w:t>
      </w:r>
      <w:proofErr w:type="spellEnd"/>
      <w:r w:rsidRPr="00CA79CF">
        <w:rPr>
          <w:sz w:val="28"/>
          <w:szCs w:val="28"/>
        </w:rPr>
        <w:t xml:space="preserve"> </w:t>
      </w:r>
      <w:proofErr w:type="spellStart"/>
      <w:r w:rsidRPr="00CA79CF">
        <w:rPr>
          <w:sz w:val="28"/>
          <w:szCs w:val="28"/>
        </w:rPr>
        <w:t>продовженого</w:t>
      </w:r>
      <w:proofErr w:type="spellEnd"/>
      <w:r w:rsidRPr="00CA79CF">
        <w:rPr>
          <w:sz w:val="28"/>
          <w:szCs w:val="28"/>
        </w:rPr>
        <w:t xml:space="preserve"> дня - </w:t>
      </w:r>
      <w:r w:rsidRPr="00CA79CF">
        <w:rPr>
          <w:sz w:val="28"/>
          <w:szCs w:val="28"/>
          <w:lang w:val="uk-UA"/>
        </w:rPr>
        <w:t>6</w:t>
      </w:r>
      <w:r w:rsidRPr="00CA79CF">
        <w:rPr>
          <w:sz w:val="28"/>
          <w:szCs w:val="28"/>
        </w:rPr>
        <w:t>,</w:t>
      </w:r>
      <w:r w:rsidRPr="00CA79CF">
        <w:rPr>
          <w:sz w:val="28"/>
          <w:szCs w:val="28"/>
          <w:lang w:val="uk-UA"/>
        </w:rPr>
        <w:t>0</w:t>
      </w:r>
      <w:proofErr w:type="spellStart"/>
      <w:r w:rsidRPr="00CA79CF">
        <w:rPr>
          <w:sz w:val="28"/>
          <w:szCs w:val="28"/>
        </w:rPr>
        <w:t>0</w:t>
      </w:r>
      <w:proofErr w:type="spellEnd"/>
      <w:r w:rsidRPr="00CA79CF">
        <w:rPr>
          <w:sz w:val="28"/>
          <w:szCs w:val="28"/>
          <w:lang w:val="uk-UA"/>
        </w:rPr>
        <w:t xml:space="preserve"> (5,50 </w:t>
      </w:r>
      <w:proofErr w:type="spellStart"/>
      <w:r w:rsidRPr="00CA79CF">
        <w:rPr>
          <w:sz w:val="28"/>
          <w:szCs w:val="28"/>
        </w:rPr>
        <w:t>грн</w:t>
      </w:r>
      <w:proofErr w:type="spellEnd"/>
      <w:r w:rsidRPr="00CA79CF">
        <w:rPr>
          <w:sz w:val="28"/>
          <w:szCs w:val="28"/>
        </w:rPr>
        <w:t>.</w:t>
      </w:r>
      <w:r w:rsidRPr="00CA79CF">
        <w:rPr>
          <w:sz w:val="28"/>
          <w:szCs w:val="28"/>
          <w:lang w:val="uk-UA"/>
        </w:rPr>
        <w:t xml:space="preserve"> з 01.09.2013)</w:t>
      </w:r>
      <w:r w:rsidRPr="00CA79CF">
        <w:rPr>
          <w:sz w:val="28"/>
          <w:szCs w:val="28"/>
        </w:rPr>
        <w:t>;</w:t>
      </w:r>
    </w:p>
    <w:p w:rsidR="00CA79CF" w:rsidRPr="00CA79CF" w:rsidRDefault="00CA79CF" w:rsidP="00CA79CF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360"/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CA79CF">
        <w:rPr>
          <w:sz w:val="28"/>
          <w:szCs w:val="28"/>
        </w:rPr>
        <w:t xml:space="preserve">у 5-11-х </w:t>
      </w:r>
      <w:proofErr w:type="spellStart"/>
      <w:r w:rsidRPr="00CA79CF">
        <w:rPr>
          <w:sz w:val="28"/>
          <w:szCs w:val="28"/>
        </w:rPr>
        <w:t>класах</w:t>
      </w:r>
      <w:proofErr w:type="spellEnd"/>
      <w:r w:rsidRPr="00CA79CF">
        <w:rPr>
          <w:sz w:val="28"/>
          <w:szCs w:val="28"/>
        </w:rPr>
        <w:t xml:space="preserve"> - </w:t>
      </w:r>
      <w:r w:rsidRPr="00CA79CF">
        <w:rPr>
          <w:sz w:val="28"/>
          <w:szCs w:val="28"/>
          <w:lang w:val="uk-UA"/>
        </w:rPr>
        <w:t>6</w:t>
      </w:r>
      <w:r w:rsidRPr="00CA79CF">
        <w:rPr>
          <w:sz w:val="28"/>
          <w:szCs w:val="28"/>
        </w:rPr>
        <w:t>,</w:t>
      </w:r>
      <w:r w:rsidRPr="00CA79CF">
        <w:rPr>
          <w:sz w:val="28"/>
          <w:szCs w:val="28"/>
          <w:lang w:val="uk-UA"/>
        </w:rPr>
        <w:t>0</w:t>
      </w:r>
      <w:proofErr w:type="spellStart"/>
      <w:r w:rsidRPr="00CA79CF">
        <w:rPr>
          <w:sz w:val="28"/>
          <w:szCs w:val="28"/>
        </w:rPr>
        <w:t>0</w:t>
      </w:r>
      <w:proofErr w:type="spellEnd"/>
      <w:r w:rsidRPr="00CA79CF">
        <w:rPr>
          <w:sz w:val="28"/>
          <w:szCs w:val="28"/>
        </w:rPr>
        <w:t xml:space="preserve"> </w:t>
      </w:r>
      <w:proofErr w:type="spellStart"/>
      <w:r w:rsidRPr="00CA79CF">
        <w:rPr>
          <w:sz w:val="28"/>
          <w:szCs w:val="28"/>
        </w:rPr>
        <w:t>грн</w:t>
      </w:r>
      <w:proofErr w:type="spellEnd"/>
      <w:r w:rsidRPr="00CA79CF">
        <w:rPr>
          <w:sz w:val="28"/>
          <w:szCs w:val="28"/>
        </w:rPr>
        <w:t>. (5,</w:t>
      </w:r>
      <w:r w:rsidRPr="00CA79CF">
        <w:rPr>
          <w:sz w:val="28"/>
          <w:szCs w:val="28"/>
          <w:lang w:val="uk-UA"/>
        </w:rPr>
        <w:t>5</w:t>
      </w:r>
      <w:r w:rsidRPr="00CA79CF">
        <w:rPr>
          <w:sz w:val="28"/>
          <w:szCs w:val="28"/>
        </w:rPr>
        <w:t xml:space="preserve">0 </w:t>
      </w:r>
      <w:proofErr w:type="spellStart"/>
      <w:r w:rsidRPr="00CA79CF">
        <w:rPr>
          <w:sz w:val="28"/>
          <w:szCs w:val="28"/>
        </w:rPr>
        <w:t>грн</w:t>
      </w:r>
      <w:proofErr w:type="spellEnd"/>
      <w:r w:rsidRPr="00CA79CF">
        <w:rPr>
          <w:sz w:val="28"/>
          <w:szCs w:val="28"/>
        </w:rPr>
        <w:t xml:space="preserve">. </w:t>
      </w:r>
      <w:proofErr w:type="spellStart"/>
      <w:r w:rsidRPr="00CA79CF">
        <w:rPr>
          <w:sz w:val="28"/>
          <w:szCs w:val="28"/>
        </w:rPr>
        <w:t>з</w:t>
      </w:r>
      <w:proofErr w:type="spellEnd"/>
      <w:r w:rsidRPr="00CA79CF">
        <w:rPr>
          <w:sz w:val="28"/>
          <w:szCs w:val="28"/>
        </w:rPr>
        <w:t xml:space="preserve"> 01.09.201</w:t>
      </w:r>
      <w:r w:rsidRPr="00CA79CF">
        <w:rPr>
          <w:sz w:val="28"/>
          <w:szCs w:val="28"/>
          <w:lang w:val="uk-UA"/>
        </w:rPr>
        <w:t>3</w:t>
      </w:r>
      <w:r w:rsidRPr="00CA79CF">
        <w:rPr>
          <w:sz w:val="28"/>
          <w:szCs w:val="28"/>
        </w:rPr>
        <w:t>)</w:t>
      </w:r>
    </w:p>
    <w:p w:rsidR="00CA79CF" w:rsidRPr="00CA79CF" w:rsidRDefault="00CA79CF" w:rsidP="00CA79C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У ліцеї організовано:</w:t>
      </w:r>
    </w:p>
    <w:p w:rsidR="00CA79CF" w:rsidRPr="00CA79CF" w:rsidRDefault="00CA79CF" w:rsidP="00CA79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- безоплатне  одноразове  гаряче  харчування  для  162  учнів  1-4-х  класів (99,4 %); </w:t>
      </w:r>
    </w:p>
    <w:p w:rsidR="00CA79CF" w:rsidRPr="00CA79CF" w:rsidRDefault="00CA79CF" w:rsidP="00CA79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безоплатне харчування молоком для 26 учнів 1-А класу та 23 учнів 1-Б класу. Усього 49 учнів;</w:t>
      </w:r>
    </w:p>
    <w:p w:rsidR="00CA79CF" w:rsidRPr="00CA79CF" w:rsidRDefault="00CA79CF" w:rsidP="00CA79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харчування 60 учнів групи продовженого дня;</w:t>
      </w:r>
    </w:p>
    <w:p w:rsidR="00CA79CF" w:rsidRPr="00CA79CF" w:rsidRDefault="00CA79CF" w:rsidP="00CA79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lastRenderedPageBreak/>
        <w:t>- безоплатне харчування 11 учнів пільгової категорії.</w:t>
      </w:r>
    </w:p>
    <w:p w:rsidR="00CA79CF" w:rsidRPr="00CA79CF" w:rsidRDefault="00CA79CF" w:rsidP="00CA79CF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CA79CF">
        <w:rPr>
          <w:sz w:val="28"/>
          <w:szCs w:val="28"/>
          <w:lang w:val="uk-UA"/>
        </w:rPr>
        <w:t xml:space="preserve">Усіма видами харчування (гаряче харчування, буфетна продукція і т. д.) охоплено 328 учнів, що становить 96,2 % від загальної кількості учнів. </w:t>
      </w:r>
    </w:p>
    <w:p w:rsidR="00CA79CF" w:rsidRPr="00CA79CF" w:rsidRDefault="00CA79CF" w:rsidP="00CA79CF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У ліцеї організовано повноцінне, безпечне та якісне харчування дітей, здійснюється контроль за якістю харчування, дотриманням технології приготування страв, </w:t>
      </w:r>
      <w:r w:rsidRPr="00CA79CF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>итного режиму, термінів і умов зберігання та реалізації продуктів, санітарно-гігієнічних норм, оптимального режиму роботи їдальні, з цією метою:</w:t>
      </w:r>
    </w:p>
    <w:p w:rsidR="00CA79CF" w:rsidRPr="00CA79CF" w:rsidRDefault="00CA79CF" w:rsidP="00CA79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розроблено заходи щодо харчування учнів ліцею;</w:t>
      </w:r>
    </w:p>
    <w:p w:rsidR="00CA79CF" w:rsidRPr="00CA79CF" w:rsidRDefault="00CA79CF" w:rsidP="00CA79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складено та затверджено графік відвідування їдальні учнями ліцею;</w:t>
      </w:r>
    </w:p>
    <w:p w:rsidR="00CA79CF" w:rsidRPr="00CA79CF" w:rsidRDefault="00CA79CF" w:rsidP="00CA79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- організовано чергування вчителів у їдальні.</w:t>
      </w:r>
    </w:p>
    <w:p w:rsidR="00CA79CF" w:rsidRPr="00CA79CF" w:rsidRDefault="00CA79CF" w:rsidP="00CA79CF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CA79CF">
        <w:rPr>
          <w:sz w:val="28"/>
          <w:szCs w:val="28"/>
          <w:lang w:val="uk-UA"/>
        </w:rPr>
        <w:t xml:space="preserve">Виконання натуральних норм харчування складає в середньому 82,6 %. Цей показник покращився в порівнянні з 2012/2013 навчальним роком (79,8%). </w:t>
      </w:r>
    </w:p>
    <w:bookmarkEnd w:id="0"/>
    <w:bookmarkEnd w:id="1"/>
    <w:p w:rsidR="00CA79CF" w:rsidRPr="00CA79CF" w:rsidRDefault="00CA79CF" w:rsidP="00CA79C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У закладі створено санітарно-гігієнічні умови для вживання їжі відповідно до нормативних вимог: учні, </w:t>
      </w:r>
      <w:r w:rsidRPr="00CA79CF">
        <w:rPr>
          <w:rFonts w:ascii="Times New Roman" w:hAnsi="Times New Roman" w:cs="Times New Roman"/>
          <w:b/>
          <w:sz w:val="28"/>
          <w:szCs w:val="28"/>
          <w:lang w:val="uk-UA"/>
        </w:rPr>
        <w:t>дякувати батькам</w:t>
      </w: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, забезпечені милом, паперовими рушниками. У порівнянні з минулим роком, відзначається покращення якості продукції, розширення асортименту власної продукції, яка реалізується через буфет. </w:t>
      </w:r>
    </w:p>
    <w:p w:rsidR="00CA79CF" w:rsidRPr="00CA79CF" w:rsidRDefault="00CA79CF" w:rsidP="00CA79CF">
      <w:pPr>
        <w:tabs>
          <w:tab w:val="left" w:pos="9781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Меню різноманітне, заборонених страв немає. Технологія приготування страв дотримується. Журнал здоров’я працівників харчоблоку ведеться без порушень, щоденно. Контроль за прийняттям продуктів харчування проводить завідуюча виробництвом </w:t>
      </w:r>
      <w:proofErr w:type="spellStart"/>
      <w:r w:rsidRPr="00CA79CF">
        <w:rPr>
          <w:rFonts w:ascii="Times New Roman" w:hAnsi="Times New Roman" w:cs="Times New Roman"/>
          <w:sz w:val="28"/>
          <w:szCs w:val="28"/>
          <w:lang w:val="uk-UA"/>
        </w:rPr>
        <w:t>Городищева</w:t>
      </w:r>
      <w:proofErr w:type="spellEnd"/>
      <w:r w:rsidRPr="00CA79CF">
        <w:rPr>
          <w:rFonts w:ascii="Times New Roman" w:hAnsi="Times New Roman" w:cs="Times New Roman"/>
          <w:sz w:val="28"/>
          <w:szCs w:val="28"/>
          <w:lang w:val="uk-UA"/>
        </w:rPr>
        <w:t xml:space="preserve"> І.А. та медична сестра ліцею Сердюк В.Ю.</w:t>
      </w:r>
    </w:p>
    <w:p w:rsidR="00CA79CF" w:rsidRPr="00CA79CF" w:rsidRDefault="00CA79CF" w:rsidP="00CA7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У ліцеї питний режим реалізується шляхом забезпечення альтернативного водопостачання (в наявності сертифікати відповідності на даний продукт, висновки державної санітарно-епідеміологічної експертизи). Альтернативну воду мають учні усіх класів у кабінетах, є альтернативна вода й у їдальні.</w:t>
      </w:r>
    </w:p>
    <w:p w:rsidR="00CA79CF" w:rsidRPr="00CA79CF" w:rsidRDefault="00CA79CF" w:rsidP="00CA79C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У 2013/2014 навчальному році покращилась організація санітарно-просвітницької роботи з питань раціонального харчування. Класними керівниками проводилися класні години з питань запобігання спалахів гострих кишкових інфекцій і харчових отруєнь, дотримання санітарно-гігієнічних умов під час харчування. На батьківських зборах проведена роз’яснювальна робота серед батьків щодо організації харчування дітей у ліцеї.</w:t>
      </w:r>
    </w:p>
    <w:p w:rsidR="00CA79CF" w:rsidRPr="00CA79CF" w:rsidRDefault="00CA79CF" w:rsidP="00CA79CF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Для покращення санітарного та матеріально-технічного стану шкільної їдальні упродовж 2013/2014 навчального року проведена наступна робота:</w:t>
      </w:r>
    </w:p>
    <w:p w:rsidR="00CA79CF" w:rsidRPr="00CA79CF" w:rsidRDefault="00CA79CF" w:rsidP="00CA79C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ремонт сантехніки (за батьківські кошти);</w:t>
      </w:r>
    </w:p>
    <w:p w:rsidR="00CA79CF" w:rsidRPr="00CA79CF" w:rsidRDefault="00CA79CF" w:rsidP="00CA79C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придбано дитячого посуду понад 200 комплектів та здійснено заміну пощербленого та розбитого посуду (за батьківські кошти);</w:t>
      </w:r>
    </w:p>
    <w:p w:rsidR="00CA79CF" w:rsidRPr="00CA79CF" w:rsidRDefault="00CA79CF" w:rsidP="00CA79C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придбано чайники (за батьківські кошти).</w:t>
      </w:r>
    </w:p>
    <w:p w:rsidR="00CA79CF" w:rsidRPr="00CA79CF" w:rsidRDefault="00CA79CF" w:rsidP="00CA79C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9CF">
        <w:rPr>
          <w:rFonts w:ascii="Times New Roman" w:hAnsi="Times New Roman" w:cs="Times New Roman"/>
          <w:sz w:val="28"/>
          <w:szCs w:val="28"/>
          <w:lang w:val="uk-UA"/>
        </w:rPr>
        <w:t>Аналіз стану організації харчування свідчить про те, що ця робота проводиться на достатньому рівні й носить системний характер.</w:t>
      </w:r>
    </w:p>
    <w:p w:rsidR="00FE3392" w:rsidRPr="00CA79CF" w:rsidRDefault="00FE3392" w:rsidP="00CA79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3392" w:rsidRPr="00CA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D97"/>
    <w:multiLevelType w:val="hybridMultilevel"/>
    <w:tmpl w:val="CE7AB7C0"/>
    <w:lvl w:ilvl="0" w:tplc="C99ABD76">
      <w:start w:val="5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C44DC"/>
    <w:multiLevelType w:val="hybridMultilevel"/>
    <w:tmpl w:val="C6808F6E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9CF"/>
    <w:rsid w:val="00CA79CF"/>
    <w:rsid w:val="00F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9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A79CF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A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1912</Words>
  <Characters>10900</Characters>
  <Application>Microsoft Office Word</Application>
  <DocSecurity>0</DocSecurity>
  <Lines>90</Lines>
  <Paragraphs>25</Paragraphs>
  <ScaleCrop>false</ScaleCrop>
  <Company>Home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2014-06-26T16:33:00Z</dcterms:created>
  <dcterms:modified xsi:type="dcterms:W3CDTF">2014-06-26T16:33:00Z</dcterms:modified>
</cp:coreProperties>
</file>